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 Р О Є К Т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drawing>
          <wp:inline distB="0" distT="0" distL="114300" distR="114300">
            <wp:extent cx="448310" cy="608965"/>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05 грудня  2022 року              м. Сквира                     №   /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41"/>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Програми компенсаційних виплат</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перевізникам за перевезення окремих пільгових категорій</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громадян,  які проживають на території Сквирської міської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територіальної громади, на приміських маршрутах загального</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користування автомобільним транспортом, що не виходять</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межі громади на 2023-2024 роки.</w:t>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статті 26 Закону України « Про місцеве самоврядування в Україні», п.3 ст.91 Бюджетного Кодексу України, законів України «Про автомобільний транспорт», «Про статус ветеранів війни, гарантії їх соціального захисту»,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комуністичного тоталітарного режиму 1917-1991 рр», «Про статус і соціальний захист громадян, які постраждали внаслідок Чорнобильської катастрофи», «Про охорону дитинства» та постанови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враховуючи погодження постійної комісії з питань планування бюджету та фінансів,</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соціально-економічного розвитку, Сквирська міська рада VIII скликання</w:t>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ВИРІШИЛА:</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27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Затвердити Програму компенсаційних виплат перевізникам за перевезення  окремих пільгових категорій громадян, які проживають на території Сквирської міської територіальної громади, на приміських маршрутах загального користування автомобільним транспортом, що не виходять за межі громади на 2023-2024 роки ( далі - Програма), що додається (додаток 1).</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27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Відділу економічно-інвестиційної діяльності та агропромислового розвитку і відділу праці, соціального захисту та соціального забезпечення Сквирської міської ради забезпечити реалізацію Програми компенсаційних виплат перевізникам за перевезення окремих пільгових категорій громадян, які проживають на території Сквирської міської територіальної громади, на приміських маршрутах загального користування автомобільним транспортом, що не виходять за межі громади на 2023-2024 роки.</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27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Фінансування заходів Програми здійснювати за рахунок коштів міського бюджету в межах бюджетних призначень, затверджених рішенням Сквирської міської ради на відповідний бюджетний рік.</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4.Контроль за виконанням даного рішення покласти на постійну комісію з питань планування бюджету та</w:t>
      </w:r>
      <w:r w:rsidDel="00000000" w:rsidR="00000000" w:rsidRPr="00000000">
        <w:rPr>
          <w:rFonts w:ascii="Times New Roman" w:cs="Times New Roman" w:eastAsia="Times New Roman" w:hAnsi="Times New Roman"/>
          <w:sz w:val="28"/>
          <w:szCs w:val="28"/>
          <w:rtl w:val="0"/>
        </w:rPr>
        <w:t xml:space="preserve"> фінансів,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соціально-економічного  розвитку  та заступницю  міської  голови  Валентину БАЧИНСЬКУ.</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 w:firstLine="0"/>
        <w:jc w:val="left"/>
        <w:rPr>
          <w:rFonts w:ascii="Times New Roman" w:cs="Times New Roman" w:eastAsia="Times New Roman" w:hAnsi="Times New Roman"/>
          <w:b w:val="0"/>
          <w:i w:val="0"/>
          <w:smallCaps w:val="0"/>
          <w:strike w:val="0"/>
          <w:color w:val="202020"/>
          <w:sz w:val="28"/>
          <w:szCs w:val="28"/>
          <w:highlight w:val="white"/>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 w:firstLine="0"/>
        <w:jc w:val="left"/>
        <w:rPr>
          <w:rFonts w:ascii="Times New Roman" w:cs="Times New Roman" w:eastAsia="Times New Roman" w:hAnsi="Times New Roman"/>
          <w:b w:val="0"/>
          <w:i w:val="0"/>
          <w:smallCaps w:val="0"/>
          <w:strike w:val="0"/>
          <w:color w:val="20202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202020"/>
          <w:sz w:val="28"/>
          <w:szCs w:val="28"/>
          <w:highlight w:val="white"/>
          <w:u w:val="none"/>
          <w:vertAlign w:val="baseline"/>
          <w:rtl w:val="0"/>
        </w:rPr>
        <w:t xml:space="preserve"> Міська голова                                                         Валентина ЛЕВІЦЬКА</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1" w:firstLine="0"/>
        <w:jc w:val="left"/>
        <w:rPr>
          <w:rFonts w:ascii="Times New Roman" w:cs="Times New Roman" w:eastAsia="Times New Roman" w:hAnsi="Times New Roman"/>
          <w:b w:val="0"/>
          <w:i w:val="0"/>
          <w:smallCaps w:val="0"/>
          <w:strike w:val="0"/>
          <w:color w:val="202020"/>
          <w:sz w:val="28"/>
          <w:szCs w:val="28"/>
          <w:highlight w:val="white"/>
          <w:u w:val="none"/>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Секретар міської ради                                                              Тетяна ВЛАСЮК</w:t>
        <w:tab/>
        <w:tab/>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Заступниця  міської голови                                                     Людмила СЕРГІЄНКО</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Заступниця міської голови                                                       Валентина БАЧИНСЬКА</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Начальник відділу з питань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та діловодства                              </w:t>
        <w:tab/>
        <w:tab/>
        <w:t xml:space="preserve">                         Ірина КВАША</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Начальник фінансового управління                                        Ірина КРУКІВСЬКА</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3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Виконуюча обов’язки</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3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начальника відділу праці,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3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соціального захисту та</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3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соціального забезпечення                                                Тетяна МОМОТЮК</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Додаток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ЗАТВЕРДЖЕНО</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рішенням №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ПРОГРАМА</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70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компенсаційних виплат перевізникам за перевезення окремих пільгових категорій громадян, які проживають на території  Сквирської  міської   територіальної громади  на приміських маршрутах загального користування автомобільним транспортом, що не виходять за межі громади на 2023-2024 роки</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Розділ І</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Загальна характеристика Програми</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7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Програма компенсаційних виплат за перевезення окремих пільгових категорій громадян, які проживають на території Сквирської міської територіальної громади  на приміських маршрутах загального користування автомобільним транспортом, що не виходять за межі громади на 2023-2024 роки (далі - Програма)</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направлена на організацію пільгового проїзду окремих категорій громадян на приміських маршрутах загального користування та забезпечення компенсації збитків перевізників від пільгових перевезень окремих категорій громадян на приміських маршрутах загального користування.</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розроблена відповідно Бюджетного Кодексу України, законів України «Про автомобільний транспорт», «Про статус ветеранів війни, гарантії їх соціального захисту»,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комуністичного тоталітарного режиму 1917-1991 рр», «Про статус і соціальний захист громадян, які постраждали внаслідок Чорнобильської катастрофи», «Про охорону дитинства» та постанови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Розділ ІІ</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Визначення проблем, на розв’язання яких спрямована Програма</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6"/>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обліку в Сквирському відділі управління соціального захисту населення Білоцерківської районної державної адміністрації, перебувають жителі Сквирської міської  територіальної громади, які мають право на </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пільги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та внесені до </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Єдиного державного автоматизованого реєстру пільговиків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особи з інвалідністю внаслідок війни;</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учасники бойових дій;</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5" w:right="0" w:firstLine="0"/>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громадяни,  постраждалі внаслідок Чорнобильської катастрофи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5" w:right="0" w:firstLine="0"/>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(ліквідатори 1 та 2 категорії);</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ветерани військової служби та органів внутрішніх справ;</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інваліди військової служби;</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5"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багатодітні сім’ї;</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  жертви нацистських переслідувань;</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 w:right="19" w:firstLine="706"/>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пенсіонери за віком;</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 w:right="19" w:firstLine="706"/>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інваліди загального захворювання;</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 w:right="19" w:firstLine="706"/>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учасники війни;</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 w:right="19" w:firstLine="706"/>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члени сімей загиблих(померлих) ветеранів війни.</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 w:right="19" w:firstLine="706"/>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2016 року у Державному бюджеті України передбачались видатки на компенсацію за пільговий проїзд окремих категорій громадян, визначених законодавством.</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Стаття 91 Бюджетного кодексу України передбачає видатки з місцевого бюджету на місцеві програми соціального захисту окремих категорій населення та компенсаційні виплати за пільговий проїзд окремих категорій громадян.</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Ситуація, що склалася, потребує врегулювання, оскільки пільговим категоріям громадян проблематично скористатися правом на пільговий проїзд, передбачений Законами України, а перевізники несуть фінансові втрати через відсутність компенсаційних виплат за пільгове перевезення окремих категорій громадян.</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Розділ ІІІ</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Мета Програми</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7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Метою Програми є забезпечення реалізації прав окремих категорій громадян Сквирської міської територіальної громади  на пільговий проїзд автомобільним транспортом на приміських автобусних маршрутах загального користування та відшкодування витрат за перевезення окремих пільгових категорій громадян перевізникам, які здійснюють перевезення на приміських маршрутах автомобільним транспортом загального користування за рахунок коштів місцевого бюджету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Розділ ІV</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Джерела та обсяг фінансування заходів</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Фінансове забезпечення на виконання Програми визначені у додатку № 2 до Програми.</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Розділ V</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Заходи Програми</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Захід Програми, виконавці та терміни його виконання визначені у додатку № 3 до Програми.</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Розділ VІ</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Результативні показники</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(критерії оцінки ефективності виконання заходів Програми)</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Завдання:</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Зниження соціальної напруги серед пільгових  категорій населення.</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Компенсація вартості перевезень окремих пільгових категорій громадян автомобільним транспортом на приміських маршрутах, що не виходять за межі громади згідно укладених з перевізниками договорів.</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Очікуваний результат:</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Програми забезпечить організацію пільгового проїзду окремих категорій громадян на приміських маршрутах загального користування автомобільним транспортом та компенсацію збитків перевізникам від пільгових перевезень окремих категорій громадян автомобільним транспортом на приміських маршрутах загального користування, що не виходять за межі громади.</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Розділ VІІ</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Система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Організаційний супровід та координація діяльності щодо виконання Програми здійснюється відділом економічно-інвестиційної діяльності та агропромислового розвитку і відділом праці, соціального захисту та соціального забезпечення Сквирської міської ради відповідно до Порядку відшкодування компенсації за перевезення окремих пільгових категорій громадян Сквирської міської територіальної громади на приміських маршрутах загального користування автомобільним транспортом, що не виходять за межі громади на 2023-2024 роки.</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znysh7" w:id="3"/>
      <w:bookmarkEnd w:id="3"/>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Секретар міської ради                                     Тетяна ВЛАСЮК</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Додаток1</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 Програми</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 А С П О Р Т </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компенсаційних виплат за перевезення окремих пільгових категорій громадян Сквирської міської територіальної громади  на приміських маршрутах загального користування автомобільним транспортом, що не виходять за межі громади на 2023-2024 роки</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963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7"/>
        <w:gridCol w:w="3969"/>
        <w:gridCol w:w="5103"/>
        <w:tblGridChange w:id="0">
          <w:tblGrid>
            <w:gridCol w:w="567"/>
            <w:gridCol w:w="3969"/>
            <w:gridCol w:w="510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Ініціатор розроблення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Сквирська міська рада</w:t>
            </w:r>
          </w:p>
        </w:tc>
      </w:tr>
      <w:tr>
        <w:trPr>
          <w:cantSplit w:val="0"/>
          <w:trHeight w:val="90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Розробник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праці, соціального захисту та соціального забезпечення Сквирської міської ради</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Співрозробники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економічно-інвестиційної діяльності та агропромислового розвитку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Відповідальний виконавець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економічно-інвестиційної діяльності та агропромислового розвитку і відділ праці, соціального захисту та соціального забезпечення Сквирської міської ради</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Учасники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економічно-інвестиційної діяльності та агропромислового розвитку і відділ праці, соціального захисту та соціального забезпечення Сквирської міської ради,перевізники : ФОП Підгорецький А.Ф., МПП “Діліжанс”</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Термін реалізації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2023-2024 роки</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Перелік бюджетів, які беруть участь у виконанні Програми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 ОТГ</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Загальний обсяг фінансових ресурсів, необхідних для реалізації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2000000 грн.</w:t>
            </w:r>
            <w:r w:rsidDel="00000000" w:rsidR="00000000" w:rsidRPr="00000000">
              <w:rPr>
                <w:rtl w:val="0"/>
              </w:rPr>
            </w:r>
          </w:p>
        </w:tc>
      </w:tr>
    </w:tbl>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Секретар міської ради                                     Тетяна ВЛАСЮК</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Додаток 2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 Програми</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5165"/>
          <w:tab w:val="left" w:pos="8505"/>
        </w:tabs>
        <w:spacing w:after="280" w:before="280" w:line="240" w:lineRule="auto"/>
        <w:ind w:left="0" w:right="0" w:firstLine="70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 xml:space="preserve">ДЖЕРЕЛА ТА ОБСЯГ ФІНАНСУВАННЯ ЗАХОДІВ</w:t>
        <w:tab/>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6371" w:right="0" w:firstLine="708.9999999999998"/>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19"/>
        <w:gridCol w:w="5103"/>
        <w:tblGridChange w:id="0">
          <w:tblGrid>
            <w:gridCol w:w="4219"/>
            <w:gridCol w:w="5103"/>
          </w:tblGrid>
        </w:tblGridChange>
      </w:tblGrid>
      <w:tr>
        <w:trPr>
          <w:cantSplit w:val="0"/>
          <w:tblHeader w:val="0"/>
        </w:trPr>
        <w:tc>
          <w:tcPr>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120" w:before="0" w:line="240" w:lineRule="auto"/>
              <w:ind w:left="283"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Обсяг коштів, що пропонується залучити на виконання програми</w:t>
            </w:r>
            <w:r w:rsidDel="00000000" w:rsidR="00000000" w:rsidRPr="00000000">
              <w:rPr>
                <w:rtl w:val="0"/>
              </w:rPr>
            </w:r>
          </w:p>
        </w:tc>
        <w:tc>
          <w:tcPr>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120" w:before="0" w:line="240" w:lineRule="auto"/>
              <w:ind w:left="283"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Етапи виконання програми</w:t>
            </w: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120" w:before="0" w:line="240" w:lineRule="auto"/>
              <w:ind w:left="283"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2023-2024 роки</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120" w:before="0" w:line="240" w:lineRule="auto"/>
              <w:ind w:left="283"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w:t>
            </w:r>
            <w:r w:rsidDel="00000000" w:rsidR="00000000" w:rsidRPr="00000000">
              <w:rPr>
                <w:rtl w:val="0"/>
              </w:rPr>
            </w:r>
          </w:p>
        </w:tc>
        <w:tc>
          <w:tcPr>
            <w:shd w:fill="ffffff" w:val="clear"/>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120" w:before="0" w:line="240" w:lineRule="auto"/>
              <w:ind w:left="283"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w:t>
            </w:r>
            <w:r w:rsidDel="00000000" w:rsidR="00000000" w:rsidRPr="00000000">
              <w:rPr>
                <w:rtl w:val="0"/>
              </w:rPr>
            </w:r>
          </w:p>
        </w:tc>
      </w:tr>
      <w:tr>
        <w:trPr>
          <w:cantSplit w:val="0"/>
          <w:trHeight w:val="1017" w:hRule="atLeast"/>
          <w:tblHeader w:val="0"/>
        </w:trPr>
        <w:tc>
          <w:tcP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Фнансове забезпечення, всього,</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 тому числі:</w:t>
            </w:r>
          </w:p>
        </w:tc>
        <w:tc>
          <w:tcPr>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2000000  грн.</w:t>
            </w:r>
          </w:p>
        </w:tc>
      </w:tr>
      <w:tr>
        <w:trPr>
          <w:cantSplit w:val="0"/>
          <w:tblHeader w:val="0"/>
        </w:trPr>
        <w:tc>
          <w:tcP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державний бюджет</w:t>
            </w:r>
          </w:p>
        </w:tc>
        <w:tc>
          <w:tcPr>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0"/>
          <w:tblHeader w:val="0"/>
        </w:trPr>
        <w:tc>
          <w:tcP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обласний бюджет</w:t>
            </w:r>
          </w:p>
        </w:tc>
        <w:tc>
          <w:tcPr>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0"/>
          <w:tblHeader w:val="0"/>
        </w:trPr>
        <w:tc>
          <w:tcP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p>
        </w:tc>
        <w:tc>
          <w:tcPr>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2000000   грн.</w:t>
            </w:r>
          </w:p>
        </w:tc>
      </w:tr>
      <w:tr>
        <w:trPr>
          <w:cantSplit w:val="0"/>
          <w:tblHeader w:val="0"/>
        </w:trPr>
        <w:tc>
          <w:tcP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кошти інших джерел</w:t>
            </w:r>
          </w:p>
        </w:tc>
        <w:tc>
          <w:tcPr>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bl>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sectPr>
          <w:headerReference r:id="rId8" w:type="even"/>
          <w:pgSz w:h="16838" w:w="11906" w:orient="portrait"/>
          <w:pgMar w:bottom="1134" w:top="993" w:left="1701" w:right="584" w:header="709" w:footer="709"/>
          <w:pgNumType w:start="1"/>
          <w:titlePg w:val="1"/>
        </w:sect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Секретар міської ради                                     Тетяна ВЛАСЮК</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057"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Додаток 3</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057"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 Програми</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498"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Заходи</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Програми компенсаційних витрат за перевезення окремих пільгових категорій громадян Сквирської міської територіальної громади  на приміських маршрутах загального користування автомобільним транспортом, що не виходять за межі громади на 2023-2024 роки</w:t>
      </w:r>
      <w:r w:rsidDel="00000000" w:rsidR="00000000" w:rsidRPr="00000000">
        <w:rPr>
          <w:rtl w:val="0"/>
        </w:rPr>
      </w:r>
    </w:p>
    <w:tbl>
      <w:tblPr>
        <w:tblStyle w:val="Table3"/>
        <w:tblW w:w="15289.0" w:type="dxa"/>
        <w:jc w:val="left"/>
        <w:tblInd w:w="-57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9"/>
        <w:gridCol w:w="3780"/>
        <w:gridCol w:w="1182"/>
        <w:gridCol w:w="3013"/>
        <w:gridCol w:w="2393"/>
        <w:gridCol w:w="2107"/>
        <w:gridCol w:w="2235"/>
        <w:tblGridChange w:id="0">
          <w:tblGrid>
            <w:gridCol w:w="579"/>
            <w:gridCol w:w="3780"/>
            <w:gridCol w:w="1182"/>
            <w:gridCol w:w="3013"/>
            <w:gridCol w:w="2393"/>
            <w:gridCol w:w="2107"/>
            <w:gridCol w:w="2235"/>
          </w:tblGrid>
        </w:tblGridChange>
      </w:tblGrid>
      <w:tr>
        <w:trPr>
          <w:cantSplit w:val="0"/>
          <w:trHeight w:val="241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Перелік заходів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Строк вико-</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нання заходу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Виконавці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Джерела</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фінансування</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Орієнтовні обсяги фінансування (вартість), грн.</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 2023-2024рр..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Очікуваний результат</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Виплата компенсації за проїзд автомобільним транспортом пільгових категорій громадян на приміських маршрутах загального користування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    2024рр..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Відділ економічно-інвестиційної діяльності та агропромислового розвитку і відділ праці, соціального захисту та соціального забезпечення Сквирської міської ради</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Бюджет ОТГ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2000000 грн.</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Підвищення рівня соціального захисту окремих категорій населення через виплату компенсації за пільговий проїзд.</w:t>
            </w:r>
          </w:p>
        </w:tc>
      </w:tr>
    </w:tbl>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345"/>
        </w:tabs>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Секретар міської ради                                                                     Тетяна ВЛАСЮК</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85"/>
        </w:tabs>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sectPr>
          <w:type w:val="nextPage"/>
          <w:pgSz w:h="11906" w:w="16838" w:orient="landscape"/>
          <w:pgMar w:bottom="1134" w:top="1134" w:left="1701" w:right="962" w:header="709" w:footer="709"/>
          <w:titlePg w:val="1"/>
        </w:sect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nextPage"/>
      <w:pgSz w:h="16838" w:w="11906" w:orient="portrait"/>
      <w:pgMar w:bottom="1440" w:top="1213" w:left="1746" w:right="556"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Звичайний">
    <w:name w:val="Звичайний"/>
    <w:next w:val="Звичайний"/>
    <w:autoRedefine w:val="0"/>
    <w:hidden w:val="0"/>
    <w:qFormat w:val="0"/>
    <w:pPr>
      <w:suppressAutoHyphens w:val="0"/>
      <w:spacing w:line="1" w:lineRule="atLeast"/>
      <w:ind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bidi="ar-SA" w:eastAsia="zh-CN" w:val="ru-RU"/>
    </w:rPr>
  </w:style>
  <w:style w:type="character" w:styleId="Шрифтабзацузазамовчуванням">
    <w:name w:val="Шрифт абзацу за замовчуванням"/>
    <w:next w:val="Шрифтабзацузазамовчуванням"/>
    <w:autoRedefine w:val="0"/>
    <w:hidden w:val="0"/>
    <w:qFormat w:val="0"/>
    <w:rPr>
      <w:w w:val="100"/>
      <w:position w:val="-1"/>
      <w:effect w:val="none"/>
      <w:vertAlign w:val="baseline"/>
      <w:cs w:val="0"/>
      <w:em w:val="none"/>
      <w:lang/>
    </w:rPr>
  </w:style>
  <w:style w:type="table" w:styleId="Звичайнатаблиця">
    <w:name w:val="Звичайна таблиця"/>
    <w:next w:val="Звичайнатаблиця"/>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Звичайнатаблиця"/>
      <w:jc w:val="left"/>
      <w:tblCellMar>
        <w:top w:w="0.0" w:type="dxa"/>
        <w:left w:w="108.0" w:type="dxa"/>
        <w:bottom w:w="0.0" w:type="dxa"/>
        <w:right w:w="108.0" w:type="dxa"/>
      </w:tblCellMar>
    </w:tblPr>
  </w:style>
  <w:style w:type="numbering" w:styleId="Немаєсписку">
    <w:name w:val="Немає списку"/>
    <w:next w:val="Немаєсписку"/>
    <w:autoRedefine w:val="0"/>
    <w:hidden w:val="0"/>
    <w:qFormat w:val="1"/>
    <w:pPr>
      <w:suppressAutoHyphens w:val="1"/>
      <w:spacing w:line="1" w:lineRule="atLeast"/>
      <w:ind w:leftChars="-1" w:rightChars="0" w:firstLineChars="-1"/>
      <w:textDirection w:val="btLr"/>
      <w:textAlignment w:val="top"/>
      <w:outlineLvl w:val="0"/>
    </w:pPr>
  </w:style>
  <w:style w:type="character" w:styleId="Номерсторінки">
    <w:name w:val="Номер сторінки"/>
    <w:next w:val="Номерсторінки"/>
    <w:autoRedefine w:val="0"/>
    <w:hidden w:val="0"/>
    <w:qFormat w:val="0"/>
    <w:rPr>
      <w:w w:val="100"/>
      <w:position w:val="-1"/>
      <w:effect w:val="none"/>
      <w:vertAlign w:val="baseline"/>
      <w:cs w:val="0"/>
      <w:em w:val="none"/>
      <w:lang/>
    </w:rPr>
  </w:style>
  <w:style w:type="paragraph" w:styleId="Верхнійколонтитул">
    <w:name w:val="Верхній колонтитул"/>
    <w:basedOn w:val="Звичайний"/>
    <w:next w:val="Верхнійколонтитул"/>
    <w:autoRedefine w:val="0"/>
    <w:hidden w:val="0"/>
    <w:qFormat w:val="0"/>
    <w:pPr>
      <w:tabs>
        <w:tab w:val="center" w:leader="none" w:pos="4677"/>
        <w:tab w:val="right" w:leader="none" w:pos="9355"/>
      </w:tabs>
      <w:suppressAutoHyphens w:val="0"/>
      <w:spacing w:line="1" w:lineRule="atLeast"/>
      <w:ind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bidi="ar-SA" w:eastAsia="zh-CN" w:val="ru-RU"/>
    </w:rPr>
  </w:style>
  <w:style w:type="paragraph" w:styleId="Основнийтекст">
    <w:name w:val="Основний текст"/>
    <w:basedOn w:val="Звичайний"/>
    <w:next w:val="Основнийтекст"/>
    <w:autoRedefine w:val="0"/>
    <w:hidden w:val="0"/>
    <w:qFormat w:val="0"/>
    <w:pPr>
      <w:suppressAutoHyphens w:val="1"/>
      <w:spacing w:after="120"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zh-CN" w:val="ru-RU"/>
    </w:rPr>
  </w:style>
  <w:style w:type="paragraph" w:styleId="Основнийтекстзвідступом">
    <w:name w:val="Основний текст з відступом"/>
    <w:basedOn w:val="Звичайний"/>
    <w:next w:val="Основнийтекстзвідступом"/>
    <w:autoRedefine w:val="0"/>
    <w:hidden w:val="0"/>
    <w:qFormat w:val="0"/>
    <w:pPr>
      <w:suppressAutoHyphens w:val="0"/>
      <w:spacing w:after="120" w:line="1" w:lineRule="atLeast"/>
      <w:ind w:left="283"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bidi="ar-SA" w:eastAsia="zh-CN" w:val="ru-RU"/>
    </w:rPr>
  </w:style>
  <w:style w:type="paragraph" w:styleId="Назва">
    <w:name w:val="Назва"/>
    <w:basedOn w:val="Звичайний"/>
    <w:next w:val="Назва"/>
    <w:autoRedefine w:val="0"/>
    <w:hidden w:val="0"/>
    <w:qFormat w:val="0"/>
    <w:pPr>
      <w:suppressAutoHyphens w:val="1"/>
      <w:spacing w:line="1" w:lineRule="atLeast"/>
      <w:ind w:leftChars="-1" w:rightChars="0" w:firstLineChars="-1"/>
      <w:jc w:val="center"/>
      <w:textDirection w:val="btLr"/>
      <w:textAlignment w:val="top"/>
      <w:outlineLvl w:val="0"/>
    </w:pPr>
    <w:rPr>
      <w:rFonts w:ascii="Times New Roman" w:eastAsia="Times New Roman" w:hAnsi="Times New Roman"/>
      <w:w w:val="100"/>
      <w:position w:val="-1"/>
      <w:sz w:val="28"/>
      <w:effect w:val="none"/>
      <w:vertAlign w:val="baseline"/>
      <w:cs w:val="0"/>
      <w:em w:val="none"/>
      <w:lang w:bidi="ar-SA" w:eastAsia="zh-CN" w:val="uk-UA"/>
    </w:rPr>
  </w:style>
  <w:style w:type="paragraph" w:styleId="Звичайний(веб)">
    <w:name w:val="Звичайний (веб)"/>
    <w:basedOn w:val="Звичайний"/>
    <w:next w:val="Звичайни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zh-CN" w:val="ru-RU"/>
    </w:rPr>
  </w:style>
  <w:style w:type="paragraph" w:styleId="Абзацсписку">
    <w:name w:val="Абзац списку"/>
    <w:basedOn w:val="Звичайний"/>
    <w:next w:val="Абзацсписку"/>
    <w:autoRedefine w:val="0"/>
    <w:hidden w:val="0"/>
    <w:qFormat w:val="0"/>
    <w:pPr>
      <w:suppressAutoHyphens w:val="0"/>
      <w:spacing w:after="200" w:line="276" w:lineRule="auto"/>
      <w:ind w:left="720" w:leftChars="-1" w:rightChars="0" w:firstLineChars="-1"/>
      <w:contextualSpacing w:val="1"/>
      <w:textDirection w:val="btLr"/>
      <w:textAlignment w:val="top"/>
      <w:outlineLvl w:val="0"/>
    </w:pPr>
    <w:rPr>
      <w:rFonts w:ascii="Calibri" w:eastAsia="Times New Roman" w:hAnsi="Calibri"/>
      <w:w w:val="100"/>
      <w:position w:val="-1"/>
      <w:sz w:val="22"/>
      <w:szCs w:val="22"/>
      <w:effect w:val="none"/>
      <w:vertAlign w:val="baseline"/>
      <w:cs w:val="0"/>
      <w:em w:val="none"/>
      <w:lang w:bidi="ar-SA" w:eastAsia="zh-CN" w:val="ru-RU"/>
    </w:rPr>
  </w:style>
  <w:style w:type="paragraph" w:styleId="docdata">
    <w:name w:val="docdata"/>
    <w:basedOn w:val="Звичайний"/>
    <w:next w:val="docdata"/>
    <w:autoRedefine w:val="0"/>
    <w:hidden w:val="0"/>
    <w:qFormat w:val="0"/>
    <w:pPr>
      <w:suppressAutoHyphens w:val="0"/>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color w:val="auto"/>
      <w:w w:val="100"/>
      <w:position w:val="-1"/>
      <w:effect w:val="none"/>
      <w:vertAlign w:val="baseline"/>
      <w:cs w:val="0"/>
      <w:em w:val="none"/>
      <w:lang w:bidi="ar-SA" w:eastAsia="zh-CN" w:val="uk-UA"/>
    </w:rPr>
  </w:style>
  <w:style w:type="paragraph" w:styleId="Знак">
    <w:name w:val="Знак"/>
    <w:basedOn w:val="Звичайний"/>
    <w:next w:val="Знак"/>
    <w:autoRedefine w:val="0"/>
    <w:hidden w:val="0"/>
    <w:qFormat w:val="0"/>
    <w:pPr>
      <w:suppressAutoHyphens w:val="1"/>
      <w:spacing w:line="1" w:lineRule="atLeast"/>
      <w:ind w:leftChars="-1" w:rightChars="0" w:firstLineChars="-1"/>
      <w:textDirection w:val="btLr"/>
      <w:textAlignment w:val="top"/>
      <w:outlineLvl w:val="0"/>
    </w:pPr>
    <w:rPr>
      <w:rFonts w:ascii="Verdana" w:cs="Verdana" w:eastAsia="Times New Roman" w:hAnsi="Verdana"/>
      <w:w w:val="100"/>
      <w:position w:val="-1"/>
      <w:effect w:val="none"/>
      <w:vertAlign w:val="baseline"/>
      <w:cs w:val="0"/>
      <w:em w:val="none"/>
      <w:lang w:bidi="ar-SA" w:eastAsia="zh-CN" w:val="en-US"/>
    </w:rPr>
  </w:style>
  <w:style w:type="paragraph" w:styleId="Нижнійколонтитул">
    <w:name w:val="Нижній колонтитул"/>
    <w:basedOn w:val="Звичайний"/>
    <w:next w:val="Нижнійколонтитул"/>
    <w:autoRedefine w:val="0"/>
    <w:hidden w:val="0"/>
    <w:qFormat w:val="0"/>
    <w:pPr>
      <w:tabs>
        <w:tab w:val="center" w:leader="none" w:pos="4819"/>
        <w:tab w:val="right" w:leader="none" w:pos="9639"/>
      </w:tabs>
      <w:suppressAutoHyphens w:val="0"/>
      <w:spacing w:line="1" w:lineRule="atLeast"/>
      <w:ind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bidi="ar-SA" w:eastAsia="zh-CN" w:val="ru-RU"/>
    </w:rPr>
  </w:style>
  <w:style w:type="character" w:styleId="НижнійколонтитулЗнак">
    <w:name w:val="Нижній колонтитул Знак"/>
    <w:next w:val="НижнійколонтитулЗнак"/>
    <w:autoRedefine w:val="0"/>
    <w:hidden w:val="0"/>
    <w:qFormat w:val="0"/>
    <w:rPr>
      <w:rFonts w:ascii="Times New Roman" w:eastAsia="Times New Roman" w:hAnsi="Times New Roman"/>
      <w:w w:val="100"/>
      <w:position w:val="-1"/>
      <w:effect w:val="none"/>
      <w:vertAlign w:val="baseline"/>
      <w:cs w:val="0"/>
      <w:em w:val="none"/>
      <w:lang w:eastAsia="zh-CN"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yPMj5KUH4Lj6K3OlAD+b+exmKA==">AMUW2mU1DxRUtfzqxp1J6cLgxrWNQAN5LnK4zEWoA+LUqh8sKM7BOaOuzQCn78LiY535/1LXE1lViF+mJ2hrctopWUo2fMz4QLTutGv0wKdIMNXJp5QywKCYmKd3XFjEH0bLNCD9iMgZdGRZMLv06i1yPvPWLvank8rUwpe49bK+D9aG8RndTBE=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2022-12-01T10:27:00Z</dcterms:created>
  <dc:creator>vidso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str>1049-11.2.0.11417</vt:lpstr>
  </property>
  <property fmtid="{D5CDD505-2E9C-101B-9397-08002B2CF9AE}" pid="3" name="ICV">
    <vt:lpstr>424EFFA353894534B2B064F6DEDDB6F8</vt:lpstr>
  </property>
</Properties>
</file>